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60" w:lineRule="exact"/>
        <w:ind w:firstLine="0" w:firstLineChars="0"/>
        <w:rPr>
          <w:rFonts w:ascii="仿宋_GB2312" w:hAnsi="黑体" w:eastAsia="仿宋_GB2312" w:cs="黑体"/>
          <w:b/>
          <w:bCs/>
          <w:sz w:val="34"/>
          <w:szCs w:val="34"/>
        </w:rPr>
      </w:pPr>
      <w:r>
        <w:rPr>
          <w:rFonts w:hint="eastAsia" w:ascii="仿宋_GB2312" w:hAnsi="黑体" w:eastAsia="仿宋_GB2312" w:cs="黑体"/>
          <w:b/>
          <w:bCs/>
          <w:sz w:val="34"/>
          <w:szCs w:val="34"/>
        </w:rPr>
        <w:t>附件1：</w:t>
      </w:r>
    </w:p>
    <w:p>
      <w:pPr>
        <w:pStyle w:val="6"/>
        <w:spacing w:line="560" w:lineRule="exact"/>
        <w:ind w:firstLine="0" w:firstLineChars="0"/>
        <w:rPr>
          <w:rFonts w:ascii="仿宋_GB2312" w:hAnsi="黑体" w:eastAsia="仿宋_GB2312" w:cs="黑体"/>
          <w:b/>
          <w:bCs/>
          <w:sz w:val="34"/>
          <w:szCs w:val="34"/>
        </w:rPr>
      </w:pPr>
    </w:p>
    <w:p>
      <w:pPr>
        <w:spacing w:line="560" w:lineRule="exact"/>
        <w:jc w:val="center"/>
        <w:rPr>
          <w:rFonts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贵州大学“诚信</w:t>
      </w:r>
      <w:r>
        <w:rPr>
          <w:rFonts w:hint="eastAsia" w:ascii="宋体" w:hAnsi="宋体" w:cs="Arial Unicode MS"/>
          <w:b/>
          <w:bCs/>
          <w:color w:val="000000"/>
          <w:sz w:val="44"/>
          <w:szCs w:val="44"/>
        </w:rPr>
        <w:t>•</w:t>
      </w:r>
      <w:r>
        <w:rPr>
          <w:rFonts w:hint="eastAsia" w:ascii="方正小标宋简体" w:hAnsi="方正小标宋简体" w:eastAsia="方正小标宋简体" w:cs="方正小标宋简体"/>
          <w:b/>
          <w:bCs/>
          <w:color w:val="000000"/>
          <w:sz w:val="44"/>
          <w:szCs w:val="44"/>
        </w:rPr>
        <w:t>成人•成才”</w:t>
      </w:r>
    </w:p>
    <w:p>
      <w:pPr>
        <w:spacing w:line="560" w:lineRule="exact"/>
        <w:jc w:val="center"/>
        <w:rPr>
          <w:rFonts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诚信主题创新演讲比赛活动方案</w:t>
      </w:r>
    </w:p>
    <w:p>
      <w:pPr>
        <w:spacing w:line="560" w:lineRule="exact"/>
        <w:ind w:firstLine="880" w:firstLineChars="200"/>
        <w:jc w:val="center"/>
        <w:rPr>
          <w:rFonts w:ascii="方正小标宋简体" w:hAnsi="方正小标宋简体" w:eastAsia="方正小标宋简体" w:cs="方正小标宋简体"/>
          <w:bCs/>
          <w:color w:val="000000"/>
          <w:sz w:val="44"/>
          <w:szCs w:val="44"/>
        </w:rPr>
      </w:pPr>
    </w:p>
    <w:p>
      <w:pPr>
        <w:pStyle w:val="6"/>
        <w:spacing w:line="560" w:lineRule="exact"/>
        <w:ind w:firstLine="0" w:firstLineChars="0"/>
        <w:rPr>
          <w:rFonts w:ascii="仿宋_GB2312" w:hAnsi="黑体" w:eastAsia="仿宋_GB2312" w:cs="黑体"/>
          <w:b/>
          <w:bCs/>
          <w:sz w:val="34"/>
          <w:szCs w:val="34"/>
        </w:rPr>
      </w:pPr>
      <w:r>
        <w:rPr>
          <w:rFonts w:hint="eastAsia" w:ascii="仿宋_GB2312" w:hAnsi="黑体" w:eastAsia="仿宋_GB2312" w:cs="黑体"/>
          <w:b/>
          <w:bCs/>
          <w:sz w:val="34"/>
          <w:szCs w:val="34"/>
        </w:rPr>
        <w:t>一、大赛主题</w:t>
      </w:r>
    </w:p>
    <w:p>
      <w:pPr>
        <w:spacing w:line="560" w:lineRule="exact"/>
        <w:ind w:firstLine="680" w:firstLineChars="200"/>
        <w:rPr>
          <w:rFonts w:ascii="仿宋_GB2312" w:hAnsi="宋体" w:eastAsia="仿宋_GB2312" w:cs="Tahoma"/>
          <w:color w:val="000000"/>
          <w:kern w:val="0"/>
          <w:sz w:val="34"/>
          <w:szCs w:val="34"/>
        </w:rPr>
      </w:pPr>
      <w:r>
        <w:rPr>
          <w:rFonts w:hint="eastAsia" w:ascii="仿宋_GB2312" w:hAnsi="宋体" w:eastAsia="仿宋_GB2312" w:cs="Tahoma"/>
          <w:color w:val="000000"/>
          <w:kern w:val="0"/>
          <w:sz w:val="34"/>
          <w:szCs w:val="34"/>
        </w:rPr>
        <w:t>“诚信·成人·成才”</w:t>
      </w:r>
    </w:p>
    <w:p>
      <w:pPr>
        <w:spacing w:line="560" w:lineRule="exact"/>
        <w:rPr>
          <w:rFonts w:ascii="仿宋_GB2312" w:hAnsi="黑体" w:eastAsia="仿宋_GB2312" w:cs="黑体"/>
          <w:b/>
          <w:bCs/>
          <w:sz w:val="34"/>
          <w:szCs w:val="34"/>
        </w:rPr>
      </w:pPr>
      <w:r>
        <w:rPr>
          <w:rFonts w:hint="eastAsia" w:ascii="仿宋_GB2312" w:hAnsi="黑体" w:eastAsia="仿宋_GB2312" w:cs="黑体"/>
          <w:b/>
          <w:bCs/>
          <w:sz w:val="34"/>
          <w:szCs w:val="34"/>
        </w:rPr>
        <w:t>二、大赛目的</w:t>
      </w:r>
    </w:p>
    <w:p>
      <w:pPr>
        <w:ind w:firstLine="680" w:firstLineChars="200"/>
        <w:rPr>
          <w:rFonts w:hint="eastAsia" w:ascii="仿宋_GB2312" w:hAnsi="宋体" w:eastAsia="仿宋_GB2312" w:cs="Tahoma"/>
          <w:color w:val="000000"/>
          <w:kern w:val="0"/>
          <w:sz w:val="34"/>
          <w:szCs w:val="34"/>
        </w:rPr>
      </w:pPr>
      <w:bookmarkStart w:id="0" w:name="_Toc367647127"/>
      <w:r>
        <w:rPr>
          <w:rFonts w:hint="eastAsia" w:ascii="仿宋_GB2312" w:hAnsi="宋体" w:eastAsia="仿宋_GB2312" w:cs="Tahoma"/>
          <w:color w:val="000000"/>
          <w:kern w:val="0"/>
          <w:sz w:val="34"/>
          <w:szCs w:val="34"/>
        </w:rPr>
        <w:t>“一人之辩，重于为鼎之宝;三寸之舌，强于百万之师。”演讲是科学，是艺术，是展示个人文化素质修养的窗口。而诚信是中华民族的传统美德，是现代文明的重要标志，是为人之道、做人之本，也是当代大学生塑造健康人格、实现人生价值的道德基石。为了让当代大学生更加注重诚信品质，也让我们在兴趣中求知、在激烈中求识，特举办本次诚信主题演讲比赛，在我校营造一种良好的自律与自我教育的整体氛围和风气;引导和激励大学生奋发有为、自觉成才，成为社会主义事业的合格建设者和接班人；并以此展现当代大学生的综合素质和人文精神，自觉树立当代大学生的良好风范和形象。</w:t>
      </w:r>
    </w:p>
    <w:p>
      <w:pPr>
        <w:rPr>
          <w:rFonts w:ascii="仿宋_GB2312" w:hAnsi="黑体" w:eastAsia="仿宋_GB2312" w:cs="黑体"/>
          <w:b/>
          <w:bCs/>
          <w:sz w:val="34"/>
          <w:szCs w:val="34"/>
        </w:rPr>
      </w:pPr>
      <w:r>
        <w:rPr>
          <w:rFonts w:hint="eastAsia" w:ascii="仿宋_GB2312" w:hAnsi="黑体" w:eastAsia="仿宋_GB2312" w:cs="黑体"/>
          <w:b/>
          <w:bCs/>
          <w:sz w:val="34"/>
          <w:szCs w:val="34"/>
        </w:rPr>
        <w:t>三、组织形式</w:t>
      </w:r>
    </w:p>
    <w:bookmarkEnd w:id="0"/>
    <w:p>
      <w:pPr>
        <w:ind w:firstLine="680" w:firstLineChars="200"/>
        <w:rPr>
          <w:rFonts w:ascii="仿宋_GB2312" w:hAnsi="宋体" w:eastAsia="仿宋_GB2312" w:cs="Tahoma"/>
          <w:color w:val="0000FF"/>
          <w:kern w:val="0"/>
          <w:sz w:val="34"/>
          <w:szCs w:val="34"/>
        </w:rPr>
      </w:pPr>
      <w:r>
        <w:rPr>
          <w:rFonts w:hint="eastAsia" w:ascii="仿宋_GB2312" w:hAnsi="宋体" w:eastAsia="仿宋_GB2312" w:cs="Tahoma"/>
          <w:color w:val="000000"/>
          <w:kern w:val="0"/>
          <w:sz w:val="34"/>
          <w:szCs w:val="34"/>
        </w:rPr>
        <w:t>“诚信</w:t>
      </w:r>
      <w:r>
        <w:rPr>
          <w:rFonts w:hint="eastAsia" w:ascii="仿宋" w:hAnsi="仿宋" w:eastAsia="仿宋" w:cs="Tahoma"/>
          <w:color w:val="000000"/>
          <w:kern w:val="0"/>
          <w:sz w:val="34"/>
          <w:szCs w:val="34"/>
        </w:rPr>
        <w:t>·</w:t>
      </w:r>
      <w:r>
        <w:rPr>
          <w:rFonts w:hint="eastAsia" w:ascii="仿宋_GB2312" w:hAnsi="宋体" w:eastAsia="仿宋_GB2312" w:cs="Tahoma"/>
          <w:color w:val="000000"/>
          <w:kern w:val="0"/>
          <w:sz w:val="34"/>
          <w:szCs w:val="34"/>
        </w:rPr>
        <w:t>成人</w:t>
      </w:r>
      <w:r>
        <w:rPr>
          <w:rFonts w:hint="eastAsia" w:ascii="仿宋" w:hAnsi="仿宋" w:eastAsia="仿宋" w:cs="Tahoma"/>
          <w:color w:val="000000"/>
          <w:kern w:val="0"/>
          <w:sz w:val="34"/>
          <w:szCs w:val="34"/>
        </w:rPr>
        <w:t>·</w:t>
      </w:r>
      <w:r>
        <w:rPr>
          <w:rFonts w:hint="eastAsia" w:ascii="仿宋_GB2312" w:hAnsi="宋体" w:eastAsia="仿宋_GB2312" w:cs="Tahoma"/>
          <w:color w:val="000000"/>
          <w:kern w:val="0"/>
          <w:sz w:val="34"/>
          <w:szCs w:val="34"/>
        </w:rPr>
        <w:t>成才”主题演讲大赛分初赛、复赛与决赛：</w:t>
      </w:r>
      <w:r>
        <w:rPr>
          <w:rFonts w:hint="eastAsia" w:ascii="仿宋_GB2312" w:hAnsi="宋体" w:eastAsia="仿宋_GB2312" w:cs="Tahoma"/>
          <w:color w:val="0000FF"/>
          <w:kern w:val="0"/>
          <w:sz w:val="34"/>
          <w:szCs w:val="34"/>
        </w:rPr>
        <w:t>首先由各</w:t>
      </w:r>
      <w:r>
        <w:rPr>
          <w:rFonts w:hint="eastAsia" w:ascii="仿宋_GB2312" w:hAnsi="宋体" w:eastAsia="仿宋_GB2312" w:cs="Tahoma"/>
          <w:color w:val="0000FF"/>
          <w:kern w:val="0"/>
          <w:sz w:val="34"/>
          <w:szCs w:val="34"/>
          <w:lang w:eastAsia="zh-CN"/>
        </w:rPr>
        <w:t>班级</w:t>
      </w:r>
      <w:r>
        <w:rPr>
          <w:rFonts w:hint="eastAsia" w:ascii="仿宋_GB2312" w:hAnsi="宋体" w:eastAsia="仿宋_GB2312" w:cs="Tahoma"/>
          <w:color w:val="0000FF"/>
          <w:kern w:val="0"/>
          <w:sz w:val="34"/>
          <w:szCs w:val="34"/>
        </w:rPr>
        <w:t>自行</w:t>
      </w:r>
      <w:r>
        <w:rPr>
          <w:rFonts w:hint="eastAsia" w:ascii="仿宋_GB2312" w:hAnsi="宋体" w:eastAsia="仿宋_GB2312" w:cs="Tahoma"/>
          <w:color w:val="0000FF"/>
          <w:kern w:val="0"/>
          <w:sz w:val="34"/>
          <w:szCs w:val="34"/>
          <w:lang w:eastAsia="zh-CN"/>
        </w:rPr>
        <w:t>组织一支队伍参加学院初赛</w:t>
      </w:r>
      <w:r>
        <w:rPr>
          <w:rFonts w:hint="eastAsia" w:ascii="仿宋_GB2312" w:hAnsi="宋体" w:eastAsia="仿宋_GB2312" w:cs="Tahoma"/>
          <w:color w:val="0000FF"/>
          <w:kern w:val="0"/>
          <w:sz w:val="34"/>
          <w:szCs w:val="34"/>
        </w:rPr>
        <w:t>，</w:t>
      </w:r>
      <w:r>
        <w:rPr>
          <w:rFonts w:hint="eastAsia" w:ascii="仿宋_GB2312" w:hAnsi="宋体" w:eastAsia="仿宋_GB2312" w:cs="Tahoma"/>
          <w:color w:val="0000FF"/>
          <w:kern w:val="0"/>
          <w:sz w:val="34"/>
          <w:szCs w:val="34"/>
          <w:lang w:eastAsia="zh-CN"/>
        </w:rPr>
        <w:t>学院</w:t>
      </w:r>
      <w:r>
        <w:rPr>
          <w:rFonts w:hint="eastAsia" w:ascii="仿宋_GB2312" w:hAnsi="宋体" w:eastAsia="仿宋_GB2312" w:cs="Tahoma"/>
          <w:color w:val="0000FF"/>
          <w:kern w:val="0"/>
          <w:sz w:val="34"/>
          <w:szCs w:val="34"/>
        </w:rPr>
        <w:t>评选出两支优秀参赛队伍代表本学院参加复赛，复赛中表现优异的队伍进入决赛。</w:t>
      </w:r>
    </w:p>
    <w:p>
      <w:pPr>
        <w:rPr>
          <w:rFonts w:ascii="仿宋_GB2312" w:hAnsi="黑体" w:eastAsia="仿宋_GB2312" w:cs="黑体"/>
          <w:b/>
          <w:bCs/>
          <w:color w:val="000000"/>
          <w:sz w:val="34"/>
          <w:szCs w:val="34"/>
          <w:lang w:val="zh-CN"/>
        </w:rPr>
      </w:pPr>
      <w:r>
        <w:rPr>
          <w:rFonts w:hint="eastAsia" w:ascii="仿宋_GB2312" w:hAnsi="黑体" w:eastAsia="仿宋_GB2312" w:cs="黑体"/>
          <w:b/>
          <w:bCs/>
          <w:color w:val="000000"/>
          <w:sz w:val="34"/>
          <w:szCs w:val="34"/>
          <w:lang w:val="zh-CN"/>
        </w:rPr>
        <w:t>四、大赛时间安排</w:t>
      </w:r>
    </w:p>
    <w:p>
      <w:pPr>
        <w:pStyle w:val="6"/>
        <w:spacing w:line="560" w:lineRule="exact"/>
        <w:ind w:firstLine="680"/>
        <w:rPr>
          <w:rFonts w:ascii="仿宋_GB2312" w:hAnsi="宋体" w:eastAsia="仿宋_GB2312" w:cs="仿宋_GB2312"/>
          <w:color w:val="000000"/>
          <w:sz w:val="34"/>
          <w:szCs w:val="34"/>
          <w:lang w:val="zh-CN"/>
        </w:rPr>
      </w:pPr>
      <w:bookmarkStart w:id="1" w:name="_Toc367647129"/>
      <w:r>
        <w:rPr>
          <w:rFonts w:hint="eastAsia" w:ascii="仿宋_GB2312" w:hAnsi="宋体" w:eastAsia="仿宋_GB2312" w:cs="仿宋_GB2312"/>
          <w:color w:val="000000"/>
          <w:sz w:val="34"/>
          <w:szCs w:val="34"/>
          <w:lang w:val="zh-CN"/>
        </w:rPr>
        <w:t>大赛从2016年5月初开始至2016年5月下旬结束，各赛段的具体安排如下：</w:t>
      </w:r>
    </w:p>
    <w:p>
      <w:pPr>
        <w:pStyle w:val="6"/>
        <w:spacing w:line="560" w:lineRule="exact"/>
        <w:ind w:firstLine="680"/>
        <w:rPr>
          <w:rFonts w:ascii="仿宋_GB2312" w:hAnsi="宋体" w:eastAsia="仿宋_GB2312" w:cs="仿宋_GB2312"/>
          <w:color w:val="000000"/>
          <w:sz w:val="34"/>
          <w:szCs w:val="34"/>
          <w:lang w:val="zh-CN"/>
        </w:rPr>
      </w:pPr>
      <w:r>
        <w:rPr>
          <w:rFonts w:hint="eastAsia" w:ascii="仿宋_GB2312" w:hAnsi="宋体" w:eastAsia="仿宋_GB2312" w:cs="仿宋_GB2312"/>
          <w:color w:val="000000"/>
          <w:sz w:val="34"/>
          <w:szCs w:val="34"/>
          <w:lang w:val="zh-CN"/>
        </w:rPr>
        <w:t>1.初赛：201</w:t>
      </w:r>
      <w:r>
        <w:rPr>
          <w:rFonts w:hint="eastAsia" w:ascii="仿宋_GB2312" w:hAnsi="宋体" w:eastAsia="仿宋_GB2312" w:cs="仿宋_GB2312"/>
          <w:color w:val="000000"/>
          <w:sz w:val="34"/>
          <w:szCs w:val="34"/>
        </w:rPr>
        <w:t>6</w:t>
      </w:r>
      <w:r>
        <w:rPr>
          <w:rFonts w:hint="eastAsia" w:ascii="仿宋_GB2312" w:hAnsi="宋体" w:eastAsia="仿宋_GB2312" w:cs="仿宋_GB2312"/>
          <w:color w:val="000000"/>
          <w:sz w:val="34"/>
          <w:szCs w:val="34"/>
          <w:lang w:val="zh-CN"/>
        </w:rPr>
        <w:t>年5月4日至5月</w:t>
      </w:r>
      <w:r>
        <w:rPr>
          <w:rFonts w:hint="eastAsia" w:ascii="仿宋_GB2312" w:hAnsi="宋体" w:eastAsia="仿宋_GB2312" w:cs="仿宋_GB2312"/>
          <w:color w:val="000000"/>
          <w:sz w:val="34"/>
          <w:szCs w:val="34"/>
          <w:lang w:val="en-US" w:eastAsia="zh-CN"/>
        </w:rPr>
        <w:t>18</w:t>
      </w:r>
      <w:r>
        <w:rPr>
          <w:rFonts w:hint="eastAsia" w:ascii="仿宋_GB2312" w:hAnsi="宋体" w:eastAsia="仿宋_GB2312" w:cs="仿宋_GB2312"/>
          <w:color w:val="000000"/>
          <w:sz w:val="34"/>
          <w:szCs w:val="34"/>
          <w:lang w:val="zh-CN"/>
        </w:rPr>
        <w:t>日，各参赛班级自行组队一支，</w:t>
      </w:r>
      <w:r>
        <w:rPr>
          <w:rFonts w:hint="eastAsia" w:ascii="仿宋_GB2312" w:hAnsi="宋体" w:eastAsia="仿宋_GB2312" w:cs="仿宋_GB2312"/>
          <w:color w:val="0000FF"/>
          <w:sz w:val="34"/>
          <w:szCs w:val="34"/>
          <w:lang w:val="en-US" w:eastAsia="zh-CN"/>
        </w:rPr>
        <w:t>5月18日前提交活动总结、参赛视频至学生科</w:t>
      </w:r>
      <w:r>
        <w:rPr>
          <w:rFonts w:hint="eastAsia" w:ascii="仿宋_GB2312" w:hAnsi="宋体" w:eastAsia="仿宋_GB2312" w:cs="仿宋_GB2312"/>
          <w:color w:val="000000"/>
          <w:sz w:val="34"/>
          <w:szCs w:val="34"/>
          <w:lang w:val="en-US" w:eastAsia="zh-CN"/>
        </w:rPr>
        <w:t>，经学生科评审后</w:t>
      </w:r>
      <w:r>
        <w:rPr>
          <w:rFonts w:hint="eastAsia" w:ascii="仿宋_GB2312" w:hAnsi="宋体" w:eastAsia="仿宋_GB2312" w:cs="仿宋_GB2312"/>
          <w:color w:val="000000"/>
          <w:sz w:val="34"/>
          <w:szCs w:val="34"/>
          <w:lang w:val="zh-CN"/>
        </w:rPr>
        <w:t>最终推选出2支优秀队伍代表本学院参加校级演讲复赛。</w:t>
      </w:r>
    </w:p>
    <w:p>
      <w:pPr>
        <w:pStyle w:val="6"/>
        <w:spacing w:line="560" w:lineRule="exact"/>
        <w:ind w:firstLine="680"/>
        <w:rPr>
          <w:rFonts w:ascii="仿宋_GB2312" w:hAnsi="宋体" w:eastAsia="仿宋_GB2312" w:cs="仿宋_GB2312"/>
          <w:color w:val="000000"/>
          <w:sz w:val="34"/>
          <w:szCs w:val="34"/>
          <w:lang w:val="zh-CN"/>
        </w:rPr>
      </w:pPr>
      <w:r>
        <w:rPr>
          <w:rFonts w:hint="eastAsia" w:ascii="仿宋_GB2312" w:hAnsi="宋体" w:eastAsia="仿宋_GB2312" w:cs="仿宋_GB2312"/>
          <w:color w:val="000000"/>
          <w:sz w:val="34"/>
          <w:szCs w:val="34"/>
          <w:lang w:val="zh-CN"/>
        </w:rPr>
        <w:t>2.复赛：</w:t>
      </w:r>
      <w:r>
        <w:rPr>
          <w:rFonts w:hint="eastAsia" w:ascii="仿宋_GB2312" w:hAnsi="宋体" w:eastAsia="仿宋_GB2312" w:cs="仿宋_GB2312"/>
          <w:color w:val="000000"/>
          <w:sz w:val="34"/>
          <w:szCs w:val="34"/>
        </w:rPr>
        <w:t>2016年5月20日前各学院上交代表队伍参赛材料，由组委会组织评选出20支队伍进入决赛。</w:t>
      </w:r>
    </w:p>
    <w:p>
      <w:pPr>
        <w:pStyle w:val="6"/>
        <w:spacing w:line="560" w:lineRule="exact"/>
        <w:ind w:firstLine="680"/>
        <w:rPr>
          <w:rFonts w:ascii="仿宋_GB2312" w:hAnsi="宋体" w:eastAsia="仿宋_GB2312" w:cs="仿宋_GB2312"/>
          <w:color w:val="000000"/>
          <w:sz w:val="34"/>
          <w:szCs w:val="34"/>
          <w:lang w:val="zh-CN"/>
        </w:rPr>
      </w:pPr>
      <w:r>
        <w:rPr>
          <w:rFonts w:hint="eastAsia" w:ascii="仿宋_GB2312" w:hAnsi="宋体" w:eastAsia="仿宋_GB2312" w:cs="仿宋_GB2312"/>
          <w:color w:val="000000"/>
          <w:sz w:val="34"/>
          <w:szCs w:val="34"/>
          <w:lang w:val="en-US" w:eastAsia="zh-CN"/>
        </w:rPr>
        <w:t>3</w:t>
      </w:r>
      <w:r>
        <w:rPr>
          <w:rFonts w:hint="eastAsia" w:ascii="仿宋_GB2312" w:hAnsi="宋体" w:eastAsia="仿宋_GB2312" w:cs="仿宋_GB2312"/>
          <w:color w:val="000000"/>
          <w:sz w:val="34"/>
          <w:szCs w:val="34"/>
          <w:lang w:val="zh-CN"/>
        </w:rPr>
        <w:t>.决赛：2016年5月下旬，于贵州大学北校区大礼堂举行“诚信</w:t>
      </w:r>
      <w:r>
        <w:rPr>
          <w:rFonts w:hint="eastAsia" w:ascii="仿宋" w:hAnsi="仿宋" w:eastAsia="仿宋" w:cs="仿宋_GB2312"/>
          <w:color w:val="000000"/>
          <w:sz w:val="34"/>
          <w:szCs w:val="34"/>
          <w:lang w:val="zh-CN"/>
        </w:rPr>
        <w:t>·</w:t>
      </w:r>
      <w:r>
        <w:rPr>
          <w:rFonts w:hint="eastAsia" w:ascii="仿宋_GB2312" w:hAnsi="宋体" w:eastAsia="仿宋_GB2312" w:cs="仿宋_GB2312"/>
          <w:color w:val="000000"/>
          <w:sz w:val="34"/>
          <w:szCs w:val="34"/>
          <w:lang w:val="zh-CN"/>
        </w:rPr>
        <w:t>成人</w:t>
      </w:r>
      <w:r>
        <w:rPr>
          <w:rFonts w:hint="eastAsia" w:ascii="仿宋" w:hAnsi="仿宋" w:eastAsia="仿宋" w:cs="仿宋_GB2312"/>
          <w:color w:val="000000"/>
          <w:sz w:val="34"/>
          <w:szCs w:val="34"/>
          <w:lang w:val="zh-CN"/>
        </w:rPr>
        <w:t>·</w:t>
      </w:r>
      <w:r>
        <w:rPr>
          <w:rFonts w:hint="eastAsia" w:ascii="仿宋_GB2312" w:hAnsi="宋体" w:eastAsia="仿宋_GB2312" w:cs="仿宋_GB2312"/>
          <w:color w:val="000000"/>
          <w:sz w:val="34"/>
          <w:szCs w:val="34"/>
          <w:lang w:val="zh-CN"/>
        </w:rPr>
        <w:t>成才”诚信主题演讲大赛决赛。</w:t>
      </w:r>
    </w:p>
    <w:p>
      <w:pPr>
        <w:pStyle w:val="6"/>
        <w:tabs>
          <w:tab w:val="left" w:pos="6945"/>
        </w:tabs>
        <w:spacing w:line="560" w:lineRule="exact"/>
        <w:ind w:firstLine="0" w:firstLineChars="0"/>
        <w:rPr>
          <w:rFonts w:ascii="仿宋_GB2312" w:hAnsi="黑体" w:eastAsia="仿宋_GB2312" w:cs="黑体"/>
          <w:b/>
          <w:bCs/>
          <w:color w:val="FF0000"/>
          <w:sz w:val="34"/>
          <w:szCs w:val="34"/>
          <w:lang w:val="zh-CN"/>
        </w:rPr>
      </w:pPr>
      <w:r>
        <w:rPr>
          <w:rFonts w:hint="eastAsia" w:ascii="仿宋_GB2312" w:hAnsi="黑体" w:eastAsia="仿宋_GB2312" w:cs="黑体"/>
          <w:b/>
          <w:bCs/>
          <w:color w:val="000000"/>
          <w:sz w:val="34"/>
          <w:szCs w:val="34"/>
          <w:lang w:val="zh-CN"/>
        </w:rPr>
        <w:t>五、参赛</w:t>
      </w:r>
      <w:bookmarkEnd w:id="1"/>
      <w:r>
        <w:rPr>
          <w:rFonts w:hint="eastAsia" w:ascii="仿宋_GB2312" w:hAnsi="黑体" w:eastAsia="仿宋_GB2312" w:cs="黑体"/>
          <w:b/>
          <w:bCs/>
          <w:color w:val="000000"/>
          <w:sz w:val="34"/>
          <w:szCs w:val="34"/>
          <w:lang w:val="zh-CN"/>
        </w:rPr>
        <w:t>须知</w:t>
      </w:r>
      <w:r>
        <w:rPr>
          <w:rFonts w:hint="eastAsia" w:ascii="仿宋_GB2312" w:hAnsi="黑体" w:eastAsia="仿宋_GB2312" w:cs="黑体"/>
          <w:b/>
          <w:bCs/>
          <w:color w:val="000000"/>
          <w:sz w:val="34"/>
          <w:szCs w:val="34"/>
        </w:rPr>
        <w:t xml:space="preserve">   </w:t>
      </w:r>
      <w:r>
        <w:rPr>
          <w:rFonts w:hint="eastAsia" w:ascii="仿宋_GB2312" w:hAnsi="黑体" w:eastAsia="仿宋_GB2312" w:cs="黑体"/>
          <w:b/>
          <w:bCs/>
          <w:color w:val="FF0000"/>
          <w:sz w:val="34"/>
          <w:szCs w:val="34"/>
        </w:rPr>
        <w:t xml:space="preserve">                             </w:t>
      </w:r>
    </w:p>
    <w:p>
      <w:pPr>
        <w:pStyle w:val="6"/>
        <w:spacing w:line="560" w:lineRule="exact"/>
        <w:ind w:firstLine="680"/>
        <w:rPr>
          <w:rFonts w:ascii="仿宋_GB2312" w:hAnsi="宋体" w:eastAsia="仿宋_GB2312" w:cs="仿宋_GB2312"/>
          <w:color w:val="000000"/>
          <w:sz w:val="34"/>
          <w:szCs w:val="34"/>
          <w:lang w:val="zh-CN"/>
        </w:rPr>
      </w:pPr>
      <w:bookmarkStart w:id="2" w:name="_Toc367647130"/>
      <w:r>
        <w:rPr>
          <w:rFonts w:hint="eastAsia" w:ascii="仿宋_GB2312" w:hAnsi="宋体" w:eastAsia="仿宋_GB2312" w:cs="仿宋_GB2312"/>
          <w:color w:val="000000"/>
          <w:sz w:val="34"/>
          <w:szCs w:val="34"/>
          <w:lang w:val="zh-CN"/>
        </w:rPr>
        <w:t>1.参赛选手应为具有贵州大学学籍的全日制在校大学生。</w:t>
      </w:r>
    </w:p>
    <w:p>
      <w:pPr>
        <w:pStyle w:val="6"/>
        <w:spacing w:line="560" w:lineRule="exact"/>
        <w:ind w:firstLine="680"/>
        <w:rPr>
          <w:rFonts w:ascii="仿宋_GB2312" w:hAnsi="宋体" w:eastAsia="仿宋_GB2312" w:cs="仿宋_GB2312"/>
          <w:color w:val="000000"/>
          <w:sz w:val="34"/>
          <w:szCs w:val="34"/>
          <w:lang w:val="zh-CN"/>
        </w:rPr>
      </w:pPr>
      <w:r>
        <w:rPr>
          <w:rFonts w:hint="eastAsia" w:ascii="仿宋_GB2312" w:hAnsi="宋体" w:eastAsia="仿宋_GB2312" w:cs="仿宋_GB2312"/>
          <w:color w:val="000000"/>
          <w:sz w:val="34"/>
          <w:szCs w:val="34"/>
          <w:lang w:val="zh-CN"/>
        </w:rPr>
        <w:t>2</w:t>
      </w:r>
      <w:r>
        <w:rPr>
          <w:rFonts w:hint="eastAsia" w:ascii="仿宋_GB2312" w:hAnsi="宋体" w:eastAsia="仿宋_GB2312" w:cs="仿宋_GB2312"/>
          <w:color w:val="0000FF"/>
          <w:sz w:val="34"/>
          <w:szCs w:val="34"/>
          <w:lang w:val="zh-CN"/>
        </w:rPr>
        <w:t>.主讲人必须用标准普通话进行演讲</w:t>
      </w:r>
      <w:r>
        <w:rPr>
          <w:rFonts w:hint="eastAsia" w:ascii="仿宋_GB2312" w:hAnsi="宋体" w:eastAsia="仿宋_GB2312" w:cs="仿宋_GB2312"/>
          <w:color w:val="000000"/>
          <w:sz w:val="34"/>
          <w:szCs w:val="34"/>
          <w:lang w:val="zh-CN"/>
        </w:rPr>
        <w:t>，文明用语。</w:t>
      </w:r>
    </w:p>
    <w:p>
      <w:pPr>
        <w:pStyle w:val="6"/>
        <w:spacing w:line="560" w:lineRule="exact"/>
        <w:ind w:firstLine="680"/>
        <w:rPr>
          <w:rFonts w:ascii="仿宋_GB2312" w:hAnsi="宋体" w:eastAsia="仿宋_GB2312" w:cs="仿宋_GB2312"/>
          <w:color w:val="0000FF"/>
          <w:sz w:val="34"/>
          <w:szCs w:val="34"/>
          <w:lang w:val="zh-CN"/>
        </w:rPr>
      </w:pPr>
      <w:r>
        <w:rPr>
          <w:rFonts w:hint="eastAsia" w:ascii="仿宋_GB2312" w:hAnsi="宋体" w:eastAsia="仿宋_GB2312" w:cs="仿宋_GB2312"/>
          <w:color w:val="000000"/>
          <w:sz w:val="34"/>
          <w:szCs w:val="34"/>
          <w:lang w:val="zh-CN"/>
        </w:rPr>
        <w:t>3.</w:t>
      </w:r>
      <w:r>
        <w:rPr>
          <w:rFonts w:hint="eastAsia" w:ascii="仿宋_GB2312" w:hAnsi="宋体" w:eastAsia="仿宋_GB2312" w:cs="仿宋_GB2312"/>
          <w:color w:val="0000FF"/>
          <w:sz w:val="34"/>
          <w:szCs w:val="34"/>
          <w:lang w:val="zh-CN"/>
        </w:rPr>
        <w:t>演讲时间不宜超过5分钟</w:t>
      </w:r>
      <w:r>
        <w:rPr>
          <w:rFonts w:hint="eastAsia" w:ascii="仿宋_GB2312" w:hAnsi="宋体" w:eastAsia="仿宋_GB2312" w:cs="仿宋_GB2312"/>
          <w:color w:val="000000"/>
          <w:sz w:val="34"/>
          <w:szCs w:val="34"/>
          <w:lang w:val="zh-CN"/>
        </w:rPr>
        <w:t>.要求内容积极健康，紧扣活动主题，形式丰富多样，</w:t>
      </w:r>
      <w:r>
        <w:rPr>
          <w:rFonts w:hint="eastAsia" w:ascii="仿宋_GB2312" w:hAnsi="宋体" w:eastAsia="仿宋_GB2312" w:cs="仿宋_GB2312"/>
          <w:color w:val="0000FF"/>
          <w:sz w:val="34"/>
          <w:szCs w:val="34"/>
          <w:lang w:val="zh-CN"/>
        </w:rPr>
        <w:t>可适当采用PPT、视频、表演、道具等辅助演讲。</w:t>
      </w:r>
    </w:p>
    <w:p>
      <w:pPr>
        <w:pStyle w:val="6"/>
        <w:spacing w:line="560" w:lineRule="exact"/>
        <w:ind w:firstLine="680"/>
        <w:rPr>
          <w:rFonts w:ascii="仿宋_GB2312" w:hAnsi="宋体" w:eastAsia="仿宋_GB2312" w:cs="仿宋_GB2312"/>
          <w:color w:val="000000"/>
          <w:sz w:val="34"/>
          <w:szCs w:val="34"/>
          <w:lang w:val="zh-CN"/>
        </w:rPr>
      </w:pPr>
      <w:r>
        <w:rPr>
          <w:rFonts w:hint="eastAsia" w:ascii="仿宋_GB2312" w:hAnsi="宋体" w:eastAsia="仿宋_GB2312" w:cs="仿宋_GB2312"/>
          <w:color w:val="000000"/>
          <w:sz w:val="34"/>
          <w:szCs w:val="34"/>
          <w:lang w:val="zh-CN"/>
        </w:rPr>
        <w:t>4.</w:t>
      </w:r>
      <w:r>
        <w:rPr>
          <w:rFonts w:hint="eastAsia" w:ascii="仿宋_GB2312" w:hAnsi="宋体" w:eastAsia="仿宋_GB2312" w:cs="仿宋_GB2312"/>
          <w:color w:val="0000FF"/>
          <w:sz w:val="34"/>
          <w:szCs w:val="34"/>
          <w:lang w:val="zh-CN"/>
        </w:rPr>
        <w:t>各参赛队伍应将演示和讲解相结合，以讲为主，</w:t>
      </w:r>
      <w:r>
        <w:rPr>
          <w:rFonts w:hint="eastAsia" w:ascii="仿宋_GB2312" w:hAnsi="宋体" w:eastAsia="仿宋_GB2312" w:cs="仿宋_GB2312"/>
          <w:color w:val="000000"/>
          <w:sz w:val="34"/>
          <w:szCs w:val="34"/>
          <w:lang w:val="zh-CN"/>
        </w:rPr>
        <w:t>以丰富多样的形式进行助演，展现“诚信、成人、成才”主题。</w:t>
      </w:r>
    </w:p>
    <w:p>
      <w:pPr>
        <w:pStyle w:val="6"/>
        <w:spacing w:line="560" w:lineRule="exact"/>
        <w:ind w:firstLine="680"/>
        <w:rPr>
          <w:rFonts w:ascii="仿宋_GB2312" w:hAnsi="宋体" w:eastAsia="仿宋_GB2312" w:cs="仿宋_GB2312"/>
          <w:color w:val="0000FF"/>
          <w:sz w:val="34"/>
          <w:szCs w:val="34"/>
          <w:lang w:val="zh-CN"/>
        </w:rPr>
      </w:pPr>
      <w:r>
        <w:rPr>
          <w:rFonts w:hint="eastAsia" w:ascii="仿宋_GB2312" w:hAnsi="宋体" w:eastAsia="仿宋_GB2312" w:cs="仿宋_GB2312"/>
          <w:color w:val="000000"/>
          <w:sz w:val="34"/>
          <w:szCs w:val="34"/>
          <w:lang w:val="zh-CN"/>
        </w:rPr>
        <w:t>5.</w:t>
      </w:r>
      <w:r>
        <w:rPr>
          <w:rFonts w:hint="eastAsia" w:ascii="仿宋_GB2312" w:hAnsi="宋体" w:eastAsia="仿宋_GB2312" w:cs="仿宋_GB2312"/>
          <w:color w:val="0000FF"/>
          <w:sz w:val="34"/>
          <w:szCs w:val="34"/>
          <w:lang w:val="zh-CN"/>
        </w:rPr>
        <w:t>各参赛主讲人不得多于三人</w:t>
      </w:r>
      <w:r>
        <w:rPr>
          <w:rFonts w:hint="eastAsia" w:ascii="仿宋_GB2312" w:hAnsi="宋体" w:eastAsia="仿宋_GB2312" w:cs="仿宋_GB2312"/>
          <w:color w:val="000000"/>
          <w:sz w:val="34"/>
          <w:szCs w:val="34"/>
          <w:lang w:val="zh-CN"/>
        </w:rPr>
        <w:t>，</w:t>
      </w:r>
      <w:r>
        <w:rPr>
          <w:rFonts w:hint="eastAsia" w:ascii="仿宋_GB2312" w:hAnsi="宋体" w:eastAsia="仿宋_GB2312" w:cs="仿宋_GB2312"/>
          <w:color w:val="0000FF"/>
          <w:sz w:val="34"/>
          <w:szCs w:val="34"/>
          <w:lang w:val="zh-CN"/>
        </w:rPr>
        <w:t>助演者不得多于七人，整支队伍人数控制在十人以内。</w:t>
      </w:r>
    </w:p>
    <w:p>
      <w:pPr>
        <w:pStyle w:val="6"/>
        <w:spacing w:line="560" w:lineRule="exact"/>
        <w:ind w:firstLine="0" w:firstLineChars="0"/>
        <w:rPr>
          <w:rFonts w:ascii="仿宋_GB2312" w:hAnsi="黑体" w:eastAsia="仿宋_GB2312" w:cs="黑体"/>
          <w:b/>
          <w:bCs/>
          <w:sz w:val="34"/>
          <w:szCs w:val="34"/>
          <w:lang w:val="zh-CN"/>
        </w:rPr>
      </w:pPr>
      <w:r>
        <w:rPr>
          <w:rFonts w:hint="eastAsia" w:ascii="仿宋_GB2312" w:hAnsi="黑体" w:eastAsia="仿宋_GB2312" w:cs="黑体"/>
          <w:b/>
          <w:bCs/>
          <w:sz w:val="34"/>
          <w:szCs w:val="34"/>
          <w:lang w:val="zh-CN"/>
        </w:rPr>
        <w:t>六、评分原则</w:t>
      </w:r>
      <w:bookmarkEnd w:id="2"/>
      <w:bookmarkStart w:id="3" w:name="_Toc367647131"/>
    </w:p>
    <w:p>
      <w:pPr>
        <w:pStyle w:val="6"/>
        <w:spacing w:line="560" w:lineRule="exact"/>
        <w:ind w:firstLine="0" w:firstLineChars="0"/>
        <w:rPr>
          <w:rFonts w:ascii="仿宋_GB2312" w:hAnsi="宋体" w:eastAsia="仿宋_GB2312" w:cs="仿宋_GB2312"/>
          <w:color w:val="000000"/>
          <w:sz w:val="34"/>
          <w:szCs w:val="34"/>
          <w:lang w:val="zh-CN"/>
        </w:rPr>
      </w:pPr>
      <w:r>
        <w:rPr>
          <w:rFonts w:hint="eastAsia" w:ascii="仿宋_GB2312" w:hAnsi="宋体" w:eastAsia="仿宋_GB2312" w:cs="仿宋_GB2312"/>
          <w:b/>
          <w:color w:val="000000"/>
          <w:sz w:val="34"/>
          <w:szCs w:val="34"/>
          <w:lang w:val="zh-CN"/>
        </w:rPr>
        <w:t>（一）“诚信</w:t>
      </w:r>
      <w:r>
        <w:rPr>
          <w:rFonts w:hint="eastAsia" w:ascii="仿宋" w:hAnsi="仿宋" w:eastAsia="仿宋" w:cs="仿宋_GB2312"/>
          <w:b/>
          <w:color w:val="000000"/>
          <w:sz w:val="34"/>
          <w:szCs w:val="34"/>
          <w:lang w:val="zh-CN"/>
        </w:rPr>
        <w:t>·</w:t>
      </w:r>
      <w:r>
        <w:rPr>
          <w:rFonts w:hint="eastAsia" w:ascii="仿宋_GB2312" w:hAnsi="宋体" w:eastAsia="仿宋_GB2312" w:cs="仿宋_GB2312"/>
          <w:b/>
          <w:color w:val="000000"/>
          <w:sz w:val="34"/>
          <w:szCs w:val="34"/>
          <w:lang w:val="zh-CN"/>
        </w:rPr>
        <w:t>成人</w:t>
      </w:r>
      <w:r>
        <w:rPr>
          <w:rFonts w:hint="eastAsia" w:ascii="仿宋" w:hAnsi="仿宋" w:eastAsia="仿宋" w:cs="仿宋_GB2312"/>
          <w:b/>
          <w:color w:val="000000"/>
          <w:sz w:val="34"/>
          <w:szCs w:val="34"/>
          <w:lang w:val="zh-CN"/>
        </w:rPr>
        <w:t>·</w:t>
      </w:r>
      <w:r>
        <w:rPr>
          <w:rFonts w:hint="eastAsia" w:ascii="仿宋_GB2312" w:hAnsi="宋体" w:eastAsia="仿宋_GB2312" w:cs="仿宋_GB2312"/>
          <w:b/>
          <w:color w:val="000000"/>
          <w:sz w:val="34"/>
          <w:szCs w:val="34"/>
          <w:lang w:val="zh-CN"/>
        </w:rPr>
        <w:t>成才”演讲比赛评分细则（决赛）</w:t>
      </w:r>
    </w:p>
    <w:tbl>
      <w:tblPr>
        <w:tblStyle w:val="5"/>
        <w:tblW w:w="907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6"/>
        <w:gridCol w:w="3796"/>
        <w:gridCol w:w="2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50" w:lineRule="exact"/>
              <w:jc w:val="center"/>
              <w:rPr>
                <w:rFonts w:ascii="仿宋" w:hAnsi="仿宋" w:eastAsia="仿宋" w:cs="仿宋"/>
                <w:color w:val="000000"/>
                <w:sz w:val="28"/>
                <w:szCs w:val="28"/>
              </w:rPr>
            </w:pPr>
            <w:r>
              <w:rPr>
                <w:rFonts w:hint="eastAsia" w:ascii="仿宋" w:hAnsi="仿宋" w:eastAsia="仿宋" w:cs="仿宋"/>
                <w:color w:val="000000"/>
                <w:kern w:val="0"/>
                <w:sz w:val="28"/>
                <w:szCs w:val="28"/>
              </w:rPr>
              <w:t>评价项目</w:t>
            </w:r>
          </w:p>
        </w:tc>
        <w:tc>
          <w:tcPr>
            <w:tcW w:w="379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50" w:lineRule="exact"/>
              <w:jc w:val="center"/>
              <w:rPr>
                <w:rFonts w:ascii="仿宋" w:hAnsi="仿宋" w:eastAsia="仿宋" w:cs="仿宋"/>
                <w:color w:val="000000"/>
                <w:sz w:val="28"/>
                <w:szCs w:val="28"/>
              </w:rPr>
            </w:pPr>
            <w:r>
              <w:rPr>
                <w:rFonts w:hint="eastAsia" w:ascii="仿宋" w:hAnsi="仿宋" w:eastAsia="仿宋" w:cs="仿宋"/>
                <w:color w:val="000000"/>
                <w:kern w:val="0"/>
                <w:sz w:val="28"/>
                <w:szCs w:val="28"/>
              </w:rPr>
              <w:t>评价要点</w:t>
            </w:r>
          </w:p>
        </w:tc>
        <w:tc>
          <w:tcPr>
            <w:tcW w:w="24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50" w:lineRule="exact"/>
              <w:jc w:val="center"/>
              <w:rPr>
                <w:rFonts w:ascii="仿宋" w:hAnsi="仿宋" w:eastAsia="仿宋" w:cs="仿宋"/>
                <w:color w:val="000000"/>
                <w:sz w:val="28"/>
                <w:szCs w:val="28"/>
              </w:rPr>
            </w:pPr>
            <w:r>
              <w:rPr>
                <w:rFonts w:hint="eastAsia" w:ascii="仿宋" w:hAnsi="仿宋" w:eastAsia="仿宋" w:cs="仿宋"/>
                <w:color w:val="000000"/>
                <w:kern w:val="0"/>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0" w:hRule="atLeast"/>
        </w:trPr>
        <w:tc>
          <w:tcPr>
            <w:tcW w:w="28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50" w:lineRule="exact"/>
              <w:jc w:val="center"/>
              <w:rPr>
                <w:rFonts w:ascii="仿宋" w:hAnsi="仿宋" w:eastAsia="仿宋" w:cs="仿宋"/>
                <w:color w:val="000000"/>
                <w:sz w:val="28"/>
                <w:szCs w:val="28"/>
              </w:rPr>
            </w:pPr>
            <w:r>
              <w:rPr>
                <w:rFonts w:hint="eastAsia" w:ascii="仿宋" w:hAnsi="仿宋" w:eastAsia="仿宋" w:cs="仿宋"/>
                <w:color w:val="000000"/>
                <w:kern w:val="0"/>
                <w:sz w:val="28"/>
                <w:szCs w:val="28"/>
              </w:rPr>
              <w:t>演讲内容</w:t>
            </w:r>
          </w:p>
        </w:tc>
        <w:tc>
          <w:tcPr>
            <w:tcW w:w="379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5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1.思想内容能紧紧围绕主题，观点正确、鲜明，见解独到，内容充实具体，生动感人。</w:t>
            </w:r>
          </w:p>
          <w:p>
            <w:pPr>
              <w:widowControl/>
              <w:spacing w:line="45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2、演讲稿结构严谨，构思巧妙，引人入胜。</w:t>
            </w:r>
          </w:p>
          <w:p>
            <w:pPr>
              <w:widowControl/>
              <w:spacing w:line="45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3、文字简练流畅，具有较强的思想性。</w:t>
            </w:r>
          </w:p>
        </w:tc>
        <w:tc>
          <w:tcPr>
            <w:tcW w:w="24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5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0" w:hRule="atLeast"/>
        </w:trPr>
        <w:tc>
          <w:tcPr>
            <w:tcW w:w="28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50" w:lineRule="exact"/>
              <w:jc w:val="center"/>
              <w:rPr>
                <w:rFonts w:ascii="仿宋" w:hAnsi="仿宋" w:eastAsia="仿宋" w:cs="仿宋"/>
                <w:color w:val="000000"/>
                <w:sz w:val="28"/>
                <w:szCs w:val="28"/>
              </w:rPr>
            </w:pPr>
            <w:r>
              <w:rPr>
                <w:rFonts w:hint="eastAsia" w:ascii="仿宋" w:hAnsi="仿宋" w:eastAsia="仿宋" w:cs="仿宋"/>
                <w:color w:val="000000"/>
                <w:kern w:val="0"/>
                <w:sz w:val="28"/>
                <w:szCs w:val="28"/>
              </w:rPr>
              <w:t>语言表达</w:t>
            </w:r>
          </w:p>
        </w:tc>
        <w:tc>
          <w:tcPr>
            <w:tcW w:w="3796" w:type="dxa"/>
            <w:tcBorders>
              <w:top w:val="single" w:color="000000" w:sz="8" w:space="0"/>
              <w:left w:val="single" w:color="000000" w:sz="8" w:space="0"/>
              <w:bottom w:val="single" w:color="000000" w:sz="8" w:space="0"/>
              <w:right w:val="single" w:color="000000" w:sz="8" w:space="0"/>
            </w:tcBorders>
            <w:shd w:val="clear" w:color="auto" w:fill="FFFFFF"/>
            <w:vAlign w:val="top"/>
          </w:tcPr>
          <w:p>
            <w:pPr>
              <w:widowControl/>
              <w:spacing w:line="45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1、演讲者语言规范，吐字清晰，声音洪亮圆润。2、演讲表达准确、流畅、自然。</w:t>
            </w:r>
          </w:p>
          <w:p>
            <w:pPr>
              <w:widowControl/>
              <w:spacing w:line="45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3、语言技巧处理得当，语速恰当，语气、语调、音量、节奏张弛符合思想感情的起伏变化，能熟练表达所演讲的内容。</w:t>
            </w:r>
          </w:p>
          <w:p>
            <w:pPr>
              <w:widowControl/>
              <w:spacing w:line="45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4、普通话标准。</w:t>
            </w:r>
          </w:p>
        </w:tc>
        <w:tc>
          <w:tcPr>
            <w:tcW w:w="24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5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8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5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内容创新</w:t>
            </w:r>
          </w:p>
          <w:p>
            <w:pPr>
              <w:widowControl/>
              <w:spacing w:line="450" w:lineRule="exact"/>
              <w:rPr>
                <w:rFonts w:ascii="仿宋" w:hAnsi="仿宋" w:eastAsia="仿宋" w:cs="仿宋"/>
                <w:color w:val="000000"/>
                <w:kern w:val="0"/>
                <w:sz w:val="28"/>
                <w:szCs w:val="28"/>
              </w:rPr>
            </w:pPr>
          </w:p>
        </w:tc>
        <w:tc>
          <w:tcPr>
            <w:tcW w:w="379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5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贴切主题，切入点新颖，立意深刻，形式多样，演示和讲解相结合，并采用PPT、视频、表演等辅助演讲。</w:t>
            </w:r>
          </w:p>
        </w:tc>
        <w:tc>
          <w:tcPr>
            <w:tcW w:w="24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5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50" w:lineRule="exact"/>
              <w:jc w:val="center"/>
              <w:rPr>
                <w:rFonts w:ascii="仿宋" w:hAnsi="仿宋" w:eastAsia="仿宋" w:cs="仿宋"/>
                <w:color w:val="000000"/>
                <w:sz w:val="28"/>
                <w:szCs w:val="28"/>
              </w:rPr>
            </w:pPr>
            <w:r>
              <w:rPr>
                <w:rFonts w:hint="eastAsia" w:ascii="仿宋" w:hAnsi="仿宋" w:eastAsia="仿宋" w:cs="仿宋"/>
                <w:color w:val="000000"/>
                <w:kern w:val="0"/>
                <w:sz w:val="28"/>
                <w:szCs w:val="28"/>
              </w:rPr>
              <w:t>形象风度</w:t>
            </w:r>
          </w:p>
        </w:tc>
        <w:tc>
          <w:tcPr>
            <w:tcW w:w="379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5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演讲者精神饱满，能较好地运用姿态、动作、手势、表情，表达对演讲稿的理解。</w:t>
            </w:r>
          </w:p>
        </w:tc>
        <w:tc>
          <w:tcPr>
            <w:tcW w:w="24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5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50" w:lineRule="exact"/>
              <w:jc w:val="center"/>
              <w:rPr>
                <w:rFonts w:ascii="仿宋" w:hAnsi="仿宋" w:eastAsia="仿宋" w:cs="仿宋"/>
                <w:color w:val="000000"/>
                <w:sz w:val="28"/>
                <w:szCs w:val="28"/>
              </w:rPr>
            </w:pPr>
            <w:r>
              <w:rPr>
                <w:rFonts w:hint="eastAsia" w:ascii="仿宋" w:hAnsi="仿宋" w:eastAsia="仿宋" w:cs="仿宋"/>
                <w:color w:val="000000"/>
                <w:kern w:val="0"/>
                <w:sz w:val="28"/>
                <w:szCs w:val="28"/>
              </w:rPr>
              <w:t>综合印象</w:t>
            </w:r>
          </w:p>
        </w:tc>
        <w:tc>
          <w:tcPr>
            <w:tcW w:w="379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5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演讲者着装朴素端庄大方，举止自然得体，有风度，富有艺术感染力。</w:t>
            </w:r>
          </w:p>
        </w:tc>
        <w:tc>
          <w:tcPr>
            <w:tcW w:w="24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5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28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50" w:lineRule="exact"/>
              <w:jc w:val="center"/>
              <w:rPr>
                <w:rFonts w:ascii="仿宋" w:hAnsi="仿宋" w:eastAsia="仿宋" w:cs="仿宋"/>
                <w:color w:val="000000"/>
                <w:sz w:val="28"/>
                <w:szCs w:val="28"/>
              </w:rPr>
            </w:pPr>
            <w:r>
              <w:rPr>
                <w:rFonts w:hint="eastAsia" w:ascii="仿宋" w:hAnsi="仿宋" w:eastAsia="仿宋" w:cs="仿宋"/>
                <w:color w:val="000000"/>
                <w:kern w:val="0"/>
                <w:sz w:val="28"/>
                <w:szCs w:val="28"/>
              </w:rPr>
              <w:t>附加分：脱稿</w:t>
            </w:r>
            <w:r>
              <w:rPr>
                <w:rFonts w:hint="eastAsia" w:ascii="宋体" w:hAnsi="宋体" w:cs="宋体"/>
                <w:color w:val="000000"/>
                <w:kern w:val="0"/>
                <w:sz w:val="28"/>
                <w:szCs w:val="28"/>
              </w:rPr>
              <w:t> </w:t>
            </w:r>
          </w:p>
        </w:tc>
        <w:tc>
          <w:tcPr>
            <w:tcW w:w="379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50" w:lineRule="exact"/>
              <w:jc w:val="center"/>
              <w:rPr>
                <w:rFonts w:ascii="仿宋" w:hAnsi="仿宋" w:eastAsia="仿宋" w:cs="仿宋"/>
                <w:color w:val="000000"/>
                <w:sz w:val="28"/>
                <w:szCs w:val="28"/>
              </w:rPr>
            </w:pPr>
            <w:r>
              <w:rPr>
                <w:rFonts w:hint="eastAsia" w:ascii="仿宋" w:hAnsi="仿宋" w:eastAsia="仿宋" w:cs="仿宋"/>
                <w:color w:val="000000"/>
                <w:kern w:val="0"/>
                <w:sz w:val="28"/>
                <w:szCs w:val="28"/>
              </w:rPr>
              <w:t>演讲过程完全不看稿</w:t>
            </w:r>
          </w:p>
        </w:tc>
        <w:tc>
          <w:tcPr>
            <w:tcW w:w="24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5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10分</w:t>
            </w:r>
          </w:p>
        </w:tc>
      </w:tr>
    </w:tbl>
    <w:p>
      <w:pPr>
        <w:autoSpaceDE w:val="0"/>
        <w:autoSpaceDN w:val="0"/>
        <w:adjustRightInd w:val="0"/>
        <w:spacing w:line="560" w:lineRule="exact"/>
        <w:ind w:firstLine="683" w:firstLineChars="200"/>
        <w:rPr>
          <w:rFonts w:ascii="仿宋_GB2312" w:hAnsi="宋体" w:eastAsia="仿宋_GB2312" w:cs="仿宋_GB2312"/>
          <w:b/>
          <w:color w:val="000000"/>
          <w:sz w:val="34"/>
          <w:szCs w:val="34"/>
          <w:lang w:val="zh-CN"/>
        </w:rPr>
      </w:pPr>
    </w:p>
    <w:bookmarkEnd w:id="3"/>
    <w:p>
      <w:pPr>
        <w:numPr>
          <w:ilvl w:val="0"/>
          <w:numId w:val="1"/>
        </w:numPr>
        <w:autoSpaceDE w:val="0"/>
        <w:autoSpaceDN w:val="0"/>
        <w:adjustRightInd w:val="0"/>
        <w:spacing w:line="450" w:lineRule="exact"/>
        <w:rPr>
          <w:rFonts w:ascii="仿宋" w:hAnsi="仿宋" w:eastAsia="仿宋" w:cs="仿宋"/>
          <w:b/>
          <w:color w:val="000000"/>
          <w:sz w:val="34"/>
          <w:szCs w:val="34"/>
        </w:rPr>
      </w:pPr>
      <w:r>
        <w:rPr>
          <w:rFonts w:hint="eastAsia" w:ascii="仿宋" w:hAnsi="仿宋" w:eastAsia="仿宋" w:cs="仿宋"/>
          <w:b/>
          <w:color w:val="000000"/>
          <w:sz w:val="34"/>
          <w:szCs w:val="34"/>
          <w:lang w:val="zh-CN"/>
        </w:rPr>
        <w:t>“诚信·成人·成才”</w:t>
      </w:r>
      <w:r>
        <w:rPr>
          <w:rFonts w:hint="eastAsia" w:ascii="仿宋" w:hAnsi="仿宋" w:eastAsia="仿宋" w:cs="仿宋"/>
          <w:b/>
          <w:color w:val="000000"/>
          <w:sz w:val="34"/>
          <w:szCs w:val="34"/>
        </w:rPr>
        <w:t>组织奖评分细则</w:t>
      </w:r>
    </w:p>
    <w:p>
      <w:pPr>
        <w:pStyle w:val="6"/>
        <w:spacing w:line="560" w:lineRule="exact"/>
        <w:ind w:firstLine="680"/>
        <w:rPr>
          <w:rFonts w:ascii="仿宋_GB2312" w:hAnsi="仿宋" w:eastAsia="仿宋_GB2312"/>
          <w:sz w:val="34"/>
          <w:szCs w:val="34"/>
        </w:rPr>
      </w:pPr>
      <w:bookmarkStart w:id="4" w:name="_Toc367647135"/>
      <w:r>
        <w:rPr>
          <w:rFonts w:hint="eastAsia" w:ascii="仿宋_GB2312" w:hAnsi="仿宋" w:eastAsia="仿宋_GB2312"/>
          <w:sz w:val="34"/>
          <w:szCs w:val="34"/>
        </w:rPr>
        <w:t>由大赛组委会聘请专家评委对各学院提供材料并结合学院组织情况进行评比。提交评比材料要求文字简洁、重点突出，能有效概括整个活动，记录主题活动开展情况，体现主题活动学生参与度，具有鲜明的个性，具有吸引力，能突出各学院自身特有的优势。</w:t>
      </w:r>
    </w:p>
    <w:p>
      <w:pPr>
        <w:pStyle w:val="6"/>
        <w:spacing w:line="560" w:lineRule="exact"/>
        <w:ind w:firstLine="0" w:firstLineChars="0"/>
        <w:rPr>
          <w:rFonts w:ascii="仿宋_GB2312" w:hAnsi="仿宋" w:eastAsia="仿宋_GB2312"/>
          <w:b/>
          <w:sz w:val="34"/>
          <w:szCs w:val="34"/>
        </w:rPr>
      </w:pPr>
      <w:r>
        <w:rPr>
          <w:rFonts w:hint="eastAsia" w:ascii="仿宋_GB2312" w:hAnsi="仿宋" w:eastAsia="仿宋_GB2312"/>
          <w:b/>
          <w:sz w:val="34"/>
          <w:szCs w:val="34"/>
        </w:rPr>
        <w:t>七、奖项设置</w:t>
      </w:r>
    </w:p>
    <w:p>
      <w:pPr>
        <w:pStyle w:val="6"/>
        <w:spacing w:line="560" w:lineRule="exact"/>
        <w:ind w:firstLine="0" w:firstLineChars="0"/>
        <w:rPr>
          <w:rFonts w:ascii="仿宋_GB2312" w:hAnsi="仿宋" w:eastAsia="仿宋_GB2312"/>
          <w:sz w:val="34"/>
          <w:szCs w:val="34"/>
        </w:rPr>
      </w:pPr>
      <w:r>
        <w:rPr>
          <w:rFonts w:hint="eastAsia" w:ascii="仿宋_GB2312" w:hAnsi="仿宋" w:eastAsia="仿宋_GB2312"/>
          <w:sz w:val="34"/>
          <w:szCs w:val="34"/>
        </w:rPr>
        <w:t>作品奖：</w:t>
      </w:r>
    </w:p>
    <w:p>
      <w:pPr>
        <w:pStyle w:val="6"/>
        <w:spacing w:line="560" w:lineRule="exact"/>
        <w:ind w:firstLine="680"/>
        <w:rPr>
          <w:rFonts w:ascii="仿宋_GB2312" w:hAnsi="仿宋" w:eastAsia="仿宋_GB2312"/>
          <w:color w:val="0000FF"/>
          <w:sz w:val="34"/>
          <w:szCs w:val="34"/>
        </w:rPr>
      </w:pPr>
      <w:r>
        <w:rPr>
          <w:rFonts w:hint="eastAsia" w:ascii="仿宋_GB2312" w:hAnsi="仿宋" w:eastAsia="仿宋_GB2312"/>
          <w:color w:val="0000FF"/>
          <w:sz w:val="34"/>
          <w:szCs w:val="34"/>
        </w:rPr>
        <w:t>一等奖2名（奖金1500元）</w:t>
      </w:r>
    </w:p>
    <w:p>
      <w:pPr>
        <w:pStyle w:val="6"/>
        <w:spacing w:line="560" w:lineRule="exact"/>
        <w:ind w:firstLine="680"/>
        <w:rPr>
          <w:rFonts w:ascii="仿宋_GB2312" w:hAnsi="仿宋" w:eastAsia="仿宋_GB2312"/>
          <w:sz w:val="34"/>
          <w:szCs w:val="34"/>
        </w:rPr>
      </w:pPr>
      <w:r>
        <w:rPr>
          <w:rFonts w:hint="eastAsia" w:ascii="仿宋_GB2312" w:hAnsi="仿宋" w:eastAsia="仿宋_GB2312"/>
          <w:sz w:val="34"/>
          <w:szCs w:val="34"/>
        </w:rPr>
        <w:t>二等奖3名（奖金1000元）</w:t>
      </w:r>
    </w:p>
    <w:p>
      <w:pPr>
        <w:pStyle w:val="6"/>
        <w:spacing w:line="560" w:lineRule="exact"/>
        <w:ind w:firstLine="680"/>
        <w:rPr>
          <w:rFonts w:ascii="仿宋_GB2312" w:hAnsi="仿宋" w:eastAsia="仿宋_GB2312"/>
          <w:sz w:val="34"/>
          <w:szCs w:val="34"/>
        </w:rPr>
      </w:pPr>
      <w:r>
        <w:rPr>
          <w:rFonts w:hint="eastAsia" w:ascii="仿宋_GB2312" w:hAnsi="仿宋" w:eastAsia="仿宋_GB2312"/>
          <w:sz w:val="34"/>
          <w:szCs w:val="34"/>
        </w:rPr>
        <w:t>三等奖5名（奖金800元）</w:t>
      </w:r>
    </w:p>
    <w:p>
      <w:pPr>
        <w:pStyle w:val="6"/>
        <w:spacing w:line="560" w:lineRule="exact"/>
        <w:ind w:firstLine="680"/>
        <w:rPr>
          <w:rFonts w:ascii="仿宋" w:hAnsi="仿宋" w:eastAsia="仿宋" w:cs="仿宋"/>
          <w:b/>
          <w:bCs/>
          <w:sz w:val="34"/>
          <w:szCs w:val="34"/>
          <w:lang w:val="zh-CN"/>
        </w:rPr>
      </w:pPr>
      <w:r>
        <w:rPr>
          <w:rFonts w:hint="eastAsia" w:ascii="仿宋_GB2312" w:hAnsi="仿宋" w:eastAsia="仿宋_GB2312"/>
          <w:sz w:val="34"/>
          <w:szCs w:val="34"/>
        </w:rPr>
        <w:t>优秀奖10名（奖金500元）</w:t>
      </w:r>
    </w:p>
    <w:p>
      <w:pPr>
        <w:pStyle w:val="6"/>
        <w:numPr>
          <w:ilvl w:val="0"/>
          <w:numId w:val="2"/>
        </w:numPr>
        <w:spacing w:line="560" w:lineRule="exact"/>
        <w:ind w:firstLine="0" w:firstLineChars="0"/>
        <w:rPr>
          <w:rFonts w:ascii="仿宋_GB2312" w:hAnsi="黑体" w:eastAsia="仿宋_GB2312" w:cs="黑体"/>
          <w:b/>
          <w:bCs/>
          <w:sz w:val="34"/>
          <w:szCs w:val="34"/>
          <w:lang w:val="zh-CN"/>
        </w:rPr>
      </w:pPr>
      <w:r>
        <w:rPr>
          <w:rFonts w:hint="eastAsia" w:ascii="仿宋_GB2312" w:hAnsi="黑体" w:eastAsia="仿宋_GB2312" w:cs="黑体"/>
          <w:b/>
          <w:bCs/>
          <w:sz w:val="34"/>
          <w:szCs w:val="34"/>
          <w:lang w:val="zh-CN"/>
        </w:rPr>
        <w:t>大赛未尽事宜另行通知</w:t>
      </w:r>
      <w:bookmarkEnd w:id="4"/>
      <w:r>
        <w:rPr>
          <w:rFonts w:hint="eastAsia" w:ascii="仿宋_GB2312" w:hAnsi="黑体" w:eastAsia="仿宋_GB2312" w:cs="黑体"/>
          <w:b/>
          <w:bCs/>
          <w:sz w:val="34"/>
          <w:szCs w:val="34"/>
          <w:lang w:val="zh-CN"/>
        </w:rPr>
        <w:t>。</w:t>
      </w:r>
    </w:p>
    <w:p>
      <w:pPr>
        <w:pStyle w:val="6"/>
        <w:spacing w:line="560" w:lineRule="exact"/>
        <w:ind w:firstLine="0" w:firstLineChars="0"/>
        <w:rPr>
          <w:rFonts w:ascii="仿宋_GB2312" w:hAnsi="黑体" w:eastAsia="仿宋_GB2312" w:cs="黑体"/>
          <w:b/>
          <w:sz w:val="34"/>
          <w:szCs w:val="34"/>
        </w:rPr>
      </w:pPr>
    </w:p>
    <w:p>
      <w:pPr>
        <w:pStyle w:val="7"/>
        <w:rPr>
          <w:rFonts w:ascii="仿宋_GB2312" w:hAnsi="宋体" w:eastAsia="仿宋_GB2312" w:cs="仿宋_GB2312"/>
          <w:sz w:val="34"/>
          <w:szCs w:val="34"/>
          <w:lang w:val="zh-CN"/>
        </w:rPr>
      </w:pPr>
    </w:p>
    <w:p>
      <w:pPr/>
    </w:p>
    <w:p>
      <w:pPr/>
    </w:p>
    <w:p>
      <w:pPr/>
      <w:bookmarkStart w:id="5" w:name="_GoBack"/>
      <w:bookmarkEnd w:id="5"/>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auto"/>
    <w:pitch w:val="default"/>
    <w:sig w:usb0="A0000287" w:usb1="28CF3C52" w:usb2="00000016" w:usb3="00000000" w:csb0="0004001F" w:csb1="00000000"/>
  </w:font>
  <w:font w:name="微软雅黑">
    <w:panose1 w:val="020B0503020204020204"/>
    <w:charset w:val="86"/>
    <w:family w:val="script"/>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cript"/>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1jjZ2rgBAABeAwAADgAAAAAAAAABACAAAAAeAQAAZHJzL2Uyb0RvYy54bWxQSwUGAAAAAAYABgBZ&#10;AQAASAUAAAAA&#1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1206689">
    <w:nsid w:val="57183EA1"/>
    <w:multiLevelType w:val="singleLevel"/>
    <w:tmpl w:val="57183EA1"/>
    <w:lvl w:ilvl="0" w:tentative="1">
      <w:start w:val="2"/>
      <w:numFmt w:val="chineseCounting"/>
      <w:suff w:val="nothing"/>
      <w:lvlText w:val="(%1）"/>
      <w:lvlJc w:val="left"/>
    </w:lvl>
  </w:abstractNum>
  <w:abstractNum w:abstractNumId="1461899480">
    <w:nsid w:val="5722D0D8"/>
    <w:multiLevelType w:val="singleLevel"/>
    <w:tmpl w:val="5722D0D8"/>
    <w:lvl w:ilvl="0" w:tentative="1">
      <w:start w:val="8"/>
      <w:numFmt w:val="chineseCounting"/>
      <w:suff w:val="nothing"/>
      <w:lvlText w:val="%1、"/>
      <w:lvlJc w:val="left"/>
    </w:lvl>
  </w:abstractNum>
  <w:num w:numId="1">
    <w:abstractNumId w:val="1461206689"/>
  </w:num>
  <w:num w:numId="2">
    <w:abstractNumId w:val="14618994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B7367"/>
    <w:rsid w:val="7FFB736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Mangal"/>
      <w:kern w:val="2"/>
      <w:sz w:val="21"/>
      <w:szCs w:val="24"/>
      <w:lang w:val="en-US" w:eastAsia="zh-CN" w:bidi="hi-IN"/>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cs="Times New Roman"/>
      <w:kern w:val="0"/>
      <w:sz w:val="18"/>
      <w:szCs w:val="18"/>
      <w:lang w:bidi="ar-SA"/>
    </w:rPr>
  </w:style>
  <w:style w:type="paragraph" w:styleId="3">
    <w:name w:val="header"/>
    <w:basedOn w:val="1"/>
    <w:uiPriority w:val="0"/>
    <w:pPr>
      <w:pBdr>
        <w:bottom w:val="single" w:color="auto" w:sz="6" w:space="1"/>
      </w:pBdr>
      <w:tabs>
        <w:tab w:val="center" w:pos="4153"/>
        <w:tab w:val="right" w:pos="8306"/>
      </w:tabs>
      <w:snapToGrid w:val="0"/>
      <w:jc w:val="center"/>
    </w:pPr>
    <w:rPr>
      <w:rFonts w:cs="Times New Roman"/>
      <w:kern w:val="0"/>
      <w:sz w:val="18"/>
      <w:szCs w:val="18"/>
      <w:lang w:bidi="ar-SA"/>
    </w:rPr>
  </w:style>
  <w:style w:type="paragraph" w:customStyle="1" w:styleId="6">
    <w:name w:val="列出段落1"/>
    <w:basedOn w:val="1"/>
    <w:qFormat/>
    <w:uiPriority w:val="99"/>
    <w:pPr>
      <w:ind w:firstLine="420" w:firstLineChars="200"/>
    </w:pPr>
    <w:rPr>
      <w:rFonts w:cs="Times New Roman"/>
      <w:lang w:bidi="ar-SA"/>
    </w:rPr>
  </w:style>
  <w:style w:type="paragraph" w:customStyle="1" w:styleId="7">
    <w:name w:val="正文 New New New New New New New New New New New New New New"/>
    <w:qFormat/>
    <w:uiPriority w:val="99"/>
    <w:pPr>
      <w:widowControl w:val="0"/>
      <w:jc w:val="both"/>
    </w:pPr>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2016-05-19T08:23:00Z</dcterms:created>
  <dc:creator>samsung-pc</dc:creator>
  <cp:lastModifiedBy>samsung-pc</cp:lastModifiedBy>
  <dcterms:modified xsi:type="dcterms:W3CDTF">2016-05-19T08:23:59Z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